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A409B7" w14:textId="77777777" w:rsidR="00D23305" w:rsidRDefault="008F60B6">
      <w:pPr>
        <w:pStyle w:val="BodyA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4D0F3035" wp14:editId="5AB94774">
                <wp:simplePos x="0" y="0"/>
                <wp:positionH relativeFrom="page">
                  <wp:posOffset>180896</wp:posOffset>
                </wp:positionH>
                <wp:positionV relativeFrom="page">
                  <wp:posOffset>822960</wp:posOffset>
                </wp:positionV>
                <wp:extent cx="2385218" cy="107005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218" cy="10700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556C521" w14:textId="77777777" w:rsidR="00D23305" w:rsidRDefault="008F60B6">
                            <w:pPr>
                              <w:pStyle w:val="BodyA"/>
                              <w:rPr>
                                <w:rFonts w:ascii="Avenir Next" w:eastAsia="Avenir Next" w:hAnsi="Avenir Next" w:cs="Avenir Nex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" w:hAnsi="Avenir Next"/>
                                <w:sz w:val="24"/>
                                <w:szCs w:val="24"/>
                              </w:rPr>
                              <w:t>Tyrell Collins</w:t>
                            </w:r>
                          </w:p>
                          <w:p w14:paraId="2CD56FB6" w14:textId="77777777" w:rsidR="00D23305" w:rsidRDefault="008F60B6">
                            <w:pPr>
                              <w:pStyle w:val="BodyA"/>
                              <w:rPr>
                                <w:rFonts w:ascii="Avenir Next" w:eastAsia="Avenir Next" w:hAnsi="Avenir Next" w:cs="Avenir Nex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" w:hAnsi="Avenir Next"/>
                                <w:sz w:val="24"/>
                                <w:szCs w:val="24"/>
                              </w:rPr>
                              <w:t>Dr. Gu</w:t>
                            </w:r>
                          </w:p>
                          <w:p w14:paraId="132B621A" w14:textId="77777777" w:rsidR="00D23305" w:rsidRDefault="008F60B6">
                            <w:pPr>
                              <w:pStyle w:val="BodyA"/>
                            </w:pPr>
                            <w:r>
                              <w:rPr>
                                <w:rFonts w:ascii="Avenir Next" w:hAnsi="Avenir Next"/>
                                <w:sz w:val="24"/>
                                <w:szCs w:val="24"/>
                              </w:rPr>
                              <w:t xml:space="preserve">English 8121: Digital Rhetoric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4.2pt;margin-top:64.8pt;width:187.8pt;height:84.3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"/>
                        <w:rPr>
                          <w:rFonts w:ascii="Avenir Next" w:cs="Avenir Next" w:hAnsi="Avenir Next" w:eastAsia="Avenir Next"/>
                          <w:sz w:val="24"/>
                          <w:szCs w:val="24"/>
                        </w:rPr>
                      </w:pPr>
                      <w:r>
                        <w:rPr>
                          <w:rFonts w:ascii="Avenir Next" w:hAnsi="Avenir Next"/>
                          <w:sz w:val="24"/>
                          <w:szCs w:val="24"/>
                          <w:rtl w:val="0"/>
                          <w:lang w:val="en-US"/>
                        </w:rPr>
                        <w:t>Tyrell Collins</w:t>
                      </w:r>
                    </w:p>
                    <w:p>
                      <w:pPr>
                        <w:pStyle w:val="Body A"/>
                        <w:rPr>
                          <w:rFonts w:ascii="Avenir Next" w:cs="Avenir Next" w:hAnsi="Avenir Next" w:eastAsia="Avenir Next"/>
                          <w:sz w:val="24"/>
                          <w:szCs w:val="24"/>
                        </w:rPr>
                      </w:pPr>
                      <w:r>
                        <w:rPr>
                          <w:rFonts w:ascii="Avenir Next" w:hAnsi="Avenir Next"/>
                          <w:sz w:val="24"/>
                          <w:szCs w:val="24"/>
                          <w:rtl w:val="0"/>
                          <w:lang w:val="en-US"/>
                        </w:rPr>
                        <w:t>Dr. Gu</w:t>
                      </w:r>
                    </w:p>
                    <w:p>
                      <w:pPr>
                        <w:pStyle w:val="Body A"/>
                      </w:pPr>
                      <w:r>
                        <w:rPr>
                          <w:rFonts w:ascii="Avenir Next" w:hAnsi="Avenir Next"/>
                          <w:sz w:val="24"/>
                          <w:szCs w:val="24"/>
                          <w:rtl w:val="0"/>
                          <w:lang w:val="en-US"/>
                        </w:rPr>
                        <w:t xml:space="preserve">English 8121: Digital Rhetoric 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10F7240E" wp14:editId="742EEAAD">
            <wp:simplePos x="0" y="0"/>
            <wp:positionH relativeFrom="page">
              <wp:posOffset>3128010</wp:posOffset>
            </wp:positionH>
            <wp:positionV relativeFrom="page">
              <wp:posOffset>477519</wp:posOffset>
            </wp:positionV>
            <wp:extent cx="3281680" cy="2187788"/>
            <wp:effectExtent l="0" t="0" r="0" b="0"/>
            <wp:wrapTopAndBottom distT="152400" distB="152400"/>
            <wp:docPr id="1073741826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21877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46EDD486" wp14:editId="2CFF0541">
                <wp:simplePos x="0" y="0"/>
                <wp:positionH relativeFrom="page">
                  <wp:posOffset>3535283</wp:posOffset>
                </wp:positionH>
                <wp:positionV relativeFrom="line">
                  <wp:posOffset>1630679</wp:posOffset>
                </wp:positionV>
                <wp:extent cx="3473847" cy="508000"/>
                <wp:effectExtent l="0" t="0" r="0" b="0"/>
                <wp:wrapTopAndBottom distT="152400" distB="152400"/>
                <wp:docPr id="107374182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847" cy="508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8B89ED7" w14:textId="77777777" w:rsidR="00D23305" w:rsidRDefault="008F60B6">
                            <w:pPr>
                              <w:pStyle w:val="BodyA"/>
                            </w:pPr>
                            <w:r>
                              <w:t> </w:t>
                            </w:r>
                            <w:r>
                              <w:rPr>
                                <w:rFonts w:ascii="Avenir Next" w:hAnsi="Avenir Next"/>
                                <w:sz w:val="26"/>
                                <w:szCs w:val="26"/>
                              </w:rPr>
                              <w:t xml:space="preserve">A statue of the Roman statesman Cicero. Crisfotolux </w:t>
                            </w:r>
                            <w:r>
                              <w:rPr>
                                <w:rFonts w:ascii="Avenir Next" w:hAnsi="Avenir Next"/>
                                <w:sz w:val="26"/>
                                <w:szCs w:val="26"/>
                              </w:rPr>
                              <w:t xml:space="preserve">/ </w:t>
                            </w:r>
                            <w:r>
                              <w:rPr>
                                <w:rFonts w:ascii="Avenir Next" w:hAnsi="Avenir Next"/>
                                <w:sz w:val="26"/>
                                <w:szCs w:val="26"/>
                              </w:rPr>
                              <w:t xml:space="preserve">  Getty Images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278.4pt;margin-top:128.4pt;width:273.5pt;height:40.0pt;z-index:25166336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"/>
                      </w:pPr>
                      <w:r>
                        <w:rPr>
                          <w:rtl w:val="0"/>
                        </w:rPr>
                        <w:t> </w:t>
                      </w:r>
                      <w:r>
                        <w:rPr>
                          <w:rFonts w:ascii="Avenir Next" w:hAnsi="Avenir Next"/>
                          <w:sz w:val="26"/>
                          <w:szCs w:val="26"/>
                          <w:rtl w:val="0"/>
                          <w:lang w:val="en-US"/>
                        </w:rPr>
                        <w:t xml:space="preserve">A statue of the Roman statesman Cicero. Crisfotolux </w:t>
                      </w:r>
                      <w:r>
                        <w:rPr>
                          <w:rFonts w:ascii="Avenir Next" w:hAnsi="Avenir Next"/>
                          <w:sz w:val="26"/>
                          <w:szCs w:val="26"/>
                          <w:rtl w:val="0"/>
                        </w:rPr>
                        <w:t xml:space="preserve">/ </w:t>
                      </w:r>
                      <w:r>
                        <w:rPr>
                          <w:rFonts w:ascii="Avenir Next" w:hAnsi="Avenir Next"/>
                          <w:sz w:val="26"/>
                          <w:szCs w:val="26"/>
                          <w:rtl w:val="0"/>
                          <w:lang w:val="en-US"/>
                        </w:rPr>
                        <w:t xml:space="preserve">  Getty Images</w:t>
                      </w:r>
                    </w:p>
                  </w:txbxContent>
                </v:textbox>
                <w10:wrap type="topAndBottom" side="bothSides" anchorx="page"/>
              </v:shape>
            </w:pict>
          </mc:Fallback>
        </mc:AlternateContent>
      </w:r>
    </w:p>
    <w:p w14:paraId="5315BE6B" w14:textId="77777777" w:rsidR="00D23305" w:rsidRDefault="008F60B6">
      <w:pPr>
        <w:pStyle w:val="BodyA"/>
      </w:pPr>
      <w:r>
        <w:rPr>
          <w:lang w:val="pt-PT"/>
        </w:rPr>
        <w:t>James Porter</w:t>
      </w:r>
      <w:r>
        <w:t>’</w:t>
      </w:r>
      <w:r>
        <w:t>s article reexamines the canon of classical rhetorical delivery looking at today</w:t>
      </w:r>
      <w:r>
        <w:t xml:space="preserve">’s </w:t>
      </w:r>
      <w:r>
        <w:t>“</w:t>
      </w:r>
      <w:r>
        <w:t>internetworked” possibilities through an overview of history, theories and practices of delivery up to the “English elocutionary movement of the 18th century</w:t>
      </w:r>
      <w:r>
        <w:t xml:space="preserve">… </w:t>
      </w:r>
      <w:r>
        <w:t>where the art of delivery became degraded</w:t>
      </w:r>
      <w:r>
        <w:t>” (210</w:t>
      </w:r>
      <w:r>
        <w:t>).</w:t>
      </w:r>
    </w:p>
    <w:p w14:paraId="04370257" w14:textId="77777777" w:rsidR="00D23305" w:rsidRDefault="008F60B6">
      <w:pPr>
        <w:pStyle w:val="BodyA"/>
      </w:pPr>
      <w:r>
        <w:t>Bridging the connections between the ancient Gr</w:t>
      </w:r>
      <w:r>
        <w:t xml:space="preserve">eek philosophies of rhetoric to the current deemphasized concept of delivery, Porter believes there’s a need to create </w:t>
      </w:r>
      <w:r>
        <w:t>“</w:t>
      </w:r>
      <w:r>
        <w:t>a theoretical fr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4E7949A8" wp14:editId="1E0B90F8">
                <wp:simplePos x="0" y="0"/>
                <wp:positionH relativeFrom="page">
                  <wp:posOffset>503555</wp:posOffset>
                </wp:positionH>
                <wp:positionV relativeFrom="page">
                  <wp:posOffset>5417819</wp:posOffset>
                </wp:positionV>
                <wp:extent cx="1752600" cy="1118792"/>
                <wp:effectExtent l="0" t="0" r="0" b="0"/>
                <wp:wrapSquare wrapText="bothSides" distT="152400" distB="152400" distL="152400" distR="152400"/>
                <wp:docPr id="107374182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11879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D088B2" w14:textId="77777777" w:rsidR="00D23305" w:rsidRDefault="008F60B6">
                            <w:pPr>
                              <w:pStyle w:val="CaptionA"/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James Porter (2009)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39.7pt;margin-top:426.6pt;width:138.0pt;height:88.1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 A"/>
                      </w:pPr>
                      <w:r>
                        <w:rPr>
                          <w:sz w:val="36"/>
                          <w:szCs w:val="36"/>
                          <w:rtl w:val="0"/>
                          <w:lang w:val="en-US"/>
                        </w:rPr>
                        <w:t>James Porter (2009)</w:t>
                      </w:r>
                    </w:p>
                  </w:txbxContent>
                </v:textbox>
                <w10:wrap type="squar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3CC532E4" wp14:editId="743E2287">
                <wp:simplePos x="0" y="0"/>
                <wp:positionH relativeFrom="page">
                  <wp:posOffset>634998</wp:posOffset>
                </wp:positionH>
                <wp:positionV relativeFrom="page">
                  <wp:posOffset>3530598</wp:posOffset>
                </wp:positionV>
                <wp:extent cx="5813268" cy="1562100"/>
                <wp:effectExtent l="0" t="0" r="0" b="0"/>
                <wp:wrapSquare wrapText="bothSides" distT="152400" distB="152400" distL="152400" distR="152400"/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3268" cy="1562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EF84BB9" w14:textId="77777777" w:rsidR="00D23305" w:rsidRDefault="008F60B6">
                            <w:pPr>
                              <w:pStyle w:val="Title"/>
                            </w:pPr>
                            <w:r>
                              <w:t xml:space="preserve">Recovering Delivery For Digital Rhetoric </w:t>
                            </w:r>
                          </w:p>
                          <w:p w14:paraId="767DD2F1" w14:textId="77777777" w:rsidR="00D23305" w:rsidRDefault="00D23305">
                            <w:pPr>
                              <w:pStyle w:val="BodyA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50.0pt;margin-top:278.0pt;width:457.7pt;height:123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le"/>
                      </w:pPr>
                      <w:r>
                        <w:rPr>
                          <w:rtl w:val="0"/>
                          <w:lang w:val="en-US"/>
                        </w:rPr>
                        <w:t xml:space="preserve">Recovering Delivery For Digital Rhetoric </w:t>
                      </w:r>
                    </w:p>
                    <w:p>
                      <w:pPr>
                        <w:pStyle w:val="Body A"/>
                      </w:pPr>
                      <w:r/>
                    </w:p>
                  </w:txbxContent>
                </v:textbox>
                <w10:wrap type="square" side="bothSides" anchorx="page" anchory="page"/>
              </v:shape>
            </w:pict>
          </mc:Fallback>
        </mc:AlternateContent>
      </w:r>
      <w:r>
        <w:t>amework for digital delivery</w:t>
      </w:r>
      <w:r>
        <w:t xml:space="preserve">” </w:t>
      </w:r>
      <w:r>
        <w:t xml:space="preserve">because </w:t>
      </w:r>
      <w:r>
        <w:t>“</w:t>
      </w:r>
      <w:r>
        <w:t>technical kn</w:t>
      </w:r>
      <w:r>
        <w:t>owledge is integral to the art of rhetoric and the canon of rhetorical delivery in the digital age</w:t>
      </w:r>
      <w:r>
        <w:t>” (208</w:t>
      </w:r>
      <w:r>
        <w:t xml:space="preserve">). </w:t>
      </w:r>
    </w:p>
    <w:p w14:paraId="4D61738F" w14:textId="77777777" w:rsidR="00D23305" w:rsidRDefault="008F60B6">
      <w:pPr>
        <w:pStyle w:val="BodyA"/>
      </w:pPr>
      <w:r>
        <w:rPr>
          <w:lang w:val="pt-PT"/>
        </w:rPr>
        <w:t xml:space="preserve">Porter </w:t>
      </w:r>
      <w:r>
        <w:t>accomplishes two major aspects in this article. The first is that he offers</w:t>
      </w:r>
      <w:r>
        <w:t xml:space="preserve"> </w:t>
      </w:r>
      <w:r>
        <w:t>an overview and argument for digital relevance, and second, his s</w:t>
      </w:r>
      <w:r>
        <w:t xml:space="preserve">uggested theory, that he does not attempt to </w:t>
      </w:r>
      <w:r>
        <w:t>“</w:t>
      </w:r>
      <w:r>
        <w:t>provide a comprehensive theory of digital delivery,</w:t>
      </w:r>
      <w:r>
        <w:t xml:space="preserve">” </w:t>
      </w:r>
      <w:r>
        <w:t xml:space="preserve">but to </w:t>
      </w:r>
      <w:r>
        <w:t>“</w:t>
      </w:r>
      <w:r>
        <w:t>aggregate[e] and coordinat[e] a well-established body of research</w:t>
      </w:r>
      <w:r>
        <w:t>” (211-12).</w:t>
      </w:r>
    </w:p>
    <w:p w14:paraId="2E9B1861" w14:textId="77777777" w:rsidR="00D23305" w:rsidRDefault="008F60B6">
      <w:pPr>
        <w:pStyle w:val="BodyA"/>
      </w:pPr>
      <w:r>
        <w:rPr>
          <w:lang w:val="pt-PT"/>
        </w:rPr>
        <w:t xml:space="preserve">Porter </w:t>
      </w:r>
      <w:r>
        <w:t xml:space="preserve">divides his rubric of </w:t>
      </w:r>
      <w:r>
        <w:t>“</w:t>
      </w:r>
      <w:r>
        <w:t>digital delivery</w:t>
      </w:r>
      <w:r>
        <w:t>”</w:t>
      </w:r>
      <w:r>
        <w:t xml:space="preserve"> into five components: </w:t>
      </w:r>
      <w:r>
        <w:t>“</w:t>
      </w:r>
      <w:r>
        <w:t>B</w:t>
      </w:r>
      <w:r>
        <w:t>ody/Identity</w:t>
      </w:r>
      <w:r>
        <w:t>” (212-13), “</w:t>
      </w:r>
      <w:r>
        <w:t>Distribution/Circulation</w:t>
      </w:r>
      <w:r>
        <w:t>” (214-15), “</w:t>
      </w:r>
      <w:r>
        <w:rPr>
          <w:lang w:val="it-IT"/>
        </w:rPr>
        <w:t>Access/Accessibility</w:t>
      </w:r>
      <w:r>
        <w:t>” (215-16), “</w:t>
      </w:r>
      <w:r>
        <w:t>Interaction</w:t>
      </w:r>
      <w:r>
        <w:t>” (216-17), and</w:t>
      </w:r>
      <w:r>
        <w:t xml:space="preserve"> </w:t>
      </w:r>
      <w:r>
        <w:t>“</w:t>
      </w:r>
      <w:r>
        <w:rPr>
          <w:lang w:val="it-IT"/>
        </w:rPr>
        <w:t>Economics</w:t>
      </w:r>
      <w:r>
        <w:t>” (218-20)</w:t>
      </w:r>
      <w:r>
        <w:t>.</w:t>
      </w:r>
    </w:p>
    <w:p w14:paraId="0F031C81" w14:textId="77777777" w:rsidR="00D23305" w:rsidRDefault="008F60B6">
      <w:pPr>
        <w:pStyle w:val="BodyA"/>
      </w:pPr>
      <w:r>
        <w:lastRenderedPageBreak/>
        <w:t>In discussing body/identity,</w:t>
      </w:r>
      <w:r>
        <w:t xml:space="preserve"> Porter describes how being digital means not forcing the body to </w:t>
      </w:r>
      <w:r>
        <w:t>“</w:t>
      </w:r>
      <w:r>
        <w:t>disappear in virtual space…it is there in all its non-virtual manifestations: gender, race, sexual preference</w:t>
      </w:r>
      <w:r>
        <w:t>…etc.” (212)</w:t>
      </w:r>
      <w:r>
        <w:t>.</w:t>
      </w:r>
    </w:p>
    <w:p w14:paraId="05693D7C" w14:textId="77777777" w:rsidR="00D23305" w:rsidRDefault="008F60B6">
      <w:pPr>
        <w:pStyle w:val="BodyA"/>
      </w:pPr>
      <w:r>
        <w:t xml:space="preserve">Distribution/Circulation:  </w:t>
      </w:r>
      <w:r>
        <w:rPr>
          <w:lang w:val="pt-PT"/>
        </w:rPr>
        <w:t xml:space="preserve">Porter </w:t>
      </w:r>
      <w:r>
        <w:t>distinguishes circulation and di</w:t>
      </w:r>
      <w:r>
        <w:t xml:space="preserve">stribution: </w:t>
      </w:r>
      <w:r>
        <w:t>Digital Distribution</w:t>
      </w:r>
      <w:r>
        <w:t xml:space="preserve"> </w:t>
      </w:r>
      <w:r>
        <w:t>“</w:t>
      </w:r>
      <w:r>
        <w:t>refers to rhetorical decisions about the mode of presenting discourse in online situations.</w:t>
      </w:r>
      <w:r>
        <w:t>”</w:t>
      </w:r>
      <w:r>
        <w:t xml:space="preserve"> </w:t>
      </w:r>
      <w:r>
        <w:rPr>
          <w:lang w:val="fr-FR"/>
        </w:rPr>
        <w:t>Circulation</w:t>
      </w:r>
      <w:r>
        <w:t> “</w:t>
      </w:r>
      <w:r>
        <w:t>is a related term that pertains to how that message might be recycled in digital space</w:t>
      </w:r>
      <w:r>
        <w:t>” (2</w:t>
      </w:r>
      <w:r>
        <w:t>14</w:t>
      </w:r>
      <w:r>
        <w:t>).</w:t>
      </w:r>
      <w:r>
        <w:rPr>
          <w:noProof/>
        </w:rPr>
        <w:drawing>
          <wp:anchor distT="152400" distB="152400" distL="152400" distR="152400" simplePos="0" relativeHeight="251665408" behindDoc="0" locked="0" layoutInCell="1" allowOverlap="1" wp14:anchorId="0EBF7CBF" wp14:editId="63216DD9">
            <wp:simplePos x="0" y="0"/>
            <wp:positionH relativeFrom="margin">
              <wp:posOffset>-2527875</wp:posOffset>
            </wp:positionH>
            <wp:positionV relativeFrom="line">
              <wp:posOffset>454373</wp:posOffset>
            </wp:positionV>
            <wp:extent cx="2230395" cy="160077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0395" cy="16007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1686F80" w14:textId="77777777" w:rsidR="00D23305" w:rsidRDefault="008F60B6">
      <w:pPr>
        <w:pStyle w:val="BodyA"/>
      </w:pPr>
      <w:r>
        <w:t>Access/Accessibility</w:t>
      </w:r>
      <w:r>
        <w:t>: Access is the more general term related to whether a person has the necessary hardware, software, and network connectivity in order to use the Internet—and to whether certain groups of persons have a disadvantaged level of access due to their race, ethni</w:t>
      </w:r>
      <w:r>
        <w:t>city, socioeconomic status, gender, age, or other factors. Accessibility refers to the level of connectedness of one particular group of persons—those with disabilities” (216).</w:t>
      </w:r>
    </w:p>
    <w:p w14:paraId="0E8A56D9" w14:textId="77777777" w:rsidR="00D23305" w:rsidRDefault="008F60B6">
      <w:pPr>
        <w:pStyle w:val="BodyA"/>
      </w:pPr>
      <w:r>
        <w:t>Interaction: “How users engage interfaces and each other in digital environment</w:t>
      </w:r>
      <w:r>
        <w:t xml:space="preserve">s. How humans engage computer interfaces in order to perform various actions and  how humans engage other humans through computer-mediated spaces” (217). </w:t>
      </w:r>
    </w:p>
    <w:p w14:paraId="6C327209" w14:textId="77777777" w:rsidR="00D23305" w:rsidRDefault="008F60B6">
      <w:pPr>
        <w:pStyle w:val="BodyA"/>
      </w:pPr>
      <w:r>
        <w:t>Economics: In looking at rhetorical production, “What motivates someone to produce and distribute a p</w:t>
      </w:r>
      <w:r>
        <w:t xml:space="preserve">iece of writing? What motivates someone else to access it, read it, interact with it? What drives the interaction and makes it productive for both parties?” (218). </w:t>
      </w:r>
    </w:p>
    <w:p w14:paraId="664DADBE" w14:textId="77777777" w:rsidR="00D23305" w:rsidRDefault="008F60B6">
      <w:pPr>
        <w:pStyle w:val="BodyA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47FFC18" wp14:editId="0CF6EB88">
                <wp:simplePos x="0" y="0"/>
                <wp:positionH relativeFrom="page">
                  <wp:posOffset>635000</wp:posOffset>
                </wp:positionH>
                <wp:positionV relativeFrom="page">
                  <wp:posOffset>6223000</wp:posOffset>
                </wp:positionV>
                <wp:extent cx="1752600" cy="749300"/>
                <wp:effectExtent l="0" t="0" r="0" b="0"/>
                <wp:wrapSquare wrapText="left" distT="152400" distB="152400" distL="152400" distR="152400"/>
                <wp:docPr id="107374183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749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F24B22" w14:textId="77777777" w:rsidR="00D23305" w:rsidRDefault="008F60B6">
                            <w:pPr>
                              <w:pStyle w:val="CaptionA"/>
                            </w:pPr>
                            <w:r>
                              <w:t>Photo Credit: Angelqiu122 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50.0pt;margin-top:490.0pt;width:138.0pt;height:59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 A"/>
                      </w:pPr>
                      <w:r>
                        <w:rPr>
                          <w:rtl w:val="0"/>
                        </w:rPr>
                        <w:t xml:space="preserve">Photo Credit: </w:t>
                      </w:r>
                      <w:r>
                        <w:rPr>
                          <w:rtl w:val="0"/>
                        </w:rPr>
                        <w:t>Angelqiu122</w:t>
                      </w:r>
                      <w:r>
                        <w:rPr>
                          <w:rtl w:val="0"/>
                        </w:rPr>
                        <w:t> </w:t>
                      </w:r>
                    </w:p>
                  </w:txbxContent>
                </v:textbox>
                <w10:wrap type="square" side="left" anchorx="page" anchory="page"/>
              </v:shape>
            </w:pict>
          </mc:Fallback>
        </mc:AlternateContent>
      </w:r>
    </w:p>
    <w:sectPr w:rsidR="00D23305">
      <w:headerReference w:type="default" r:id="rId8"/>
      <w:footerReference w:type="default" r:id="rId9"/>
      <w:pgSz w:w="12240" w:h="15840"/>
      <w:pgMar w:top="1600" w:right="1600" w:bottom="1400" w:left="4400" w:header="720" w:footer="11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402C25" w14:textId="77777777" w:rsidR="008F60B6" w:rsidRDefault="008F60B6">
      <w:r>
        <w:separator/>
      </w:r>
    </w:p>
  </w:endnote>
  <w:endnote w:type="continuationSeparator" w:id="0">
    <w:p w14:paraId="54897C85" w14:textId="77777777" w:rsidR="008F60B6" w:rsidRDefault="008F6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1" w:usb1="08070000" w:usb2="00000010" w:usb3="00000000" w:csb0="00020000" w:csb1="00000000"/>
  </w:font>
  <w:font w:name="Avenir Next Demi Bold">
    <w:altName w:val="Avenir Next Demi Bold"/>
    <w:panose1 w:val="020B0703020202020204"/>
    <w:charset w:val="00"/>
    <w:family w:val="swiss"/>
    <w:pitch w:val="variable"/>
    <w:sig w:usb0="8000002F" w:usb1="5000204A" w:usb2="00000000" w:usb3="00000000" w:csb0="0000009B" w:csb1="00000000"/>
  </w:font>
  <w:font w:name="Hoefler Text">
    <w:altName w:val="Hoefler Text"/>
    <w:panose1 w:val="02030602050506020203"/>
    <w:charset w:val="4D"/>
    <w:family w:val="roman"/>
    <w:pitch w:val="variable"/>
    <w:sig w:usb0="800002FF" w:usb1="5000204B" w:usb2="00000004" w:usb3="00000000" w:csb0="00000197" w:csb1="00000000"/>
  </w:font>
  <w:font w:name="Avenir Next">
    <w:altName w:val="Avenir Next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1E023B" w14:textId="77777777" w:rsidR="00D23305" w:rsidRDefault="008F60B6">
    <w:pPr>
      <w:pStyle w:val="HeaderFooter"/>
      <w:tabs>
        <w:tab w:val="center" w:pos="3120"/>
        <w:tab w:val="right" w:pos="6220"/>
      </w:tabs>
      <w:jc w:val="left"/>
    </w:pPr>
    <w:r>
      <w:tab/>
    </w:r>
    <w:r>
      <w:tab/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C2E0B4" w14:textId="77777777" w:rsidR="008F60B6" w:rsidRDefault="008F60B6">
      <w:r>
        <w:separator/>
      </w:r>
    </w:p>
  </w:footnote>
  <w:footnote w:type="continuationSeparator" w:id="0">
    <w:p w14:paraId="024361F1" w14:textId="77777777" w:rsidR="008F60B6" w:rsidRDefault="008F60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4267E6" w14:textId="77777777" w:rsidR="00D23305" w:rsidRDefault="00D23305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displayBackgroundShape/>
  <w:hideSpellingErrors/>
  <w:hideGrammaticalErrors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305"/>
    <w:rsid w:val="007B237C"/>
    <w:rsid w:val="008F60B6"/>
    <w:rsid w:val="00D2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3CFC01"/>
  <w15:docId w15:val="{11A28E4C-48EC-BB4A-8862-055B18A2A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spacing w:line="288" w:lineRule="auto"/>
      <w:jc w:val="right"/>
    </w:pPr>
    <w:rPr>
      <w:rFonts w:ascii="Avenir Next Demi Bold" w:hAnsi="Avenir Next Demi Bold" w:cs="Arial Unicode MS"/>
      <w:color w:val="AAAAAA"/>
      <w:sz w:val="18"/>
      <w:szCs w:val="18"/>
      <w:u w:color="AAAAAA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pPr>
      <w:spacing w:before="80" w:after="180" w:line="288" w:lineRule="auto"/>
    </w:pPr>
    <w:rPr>
      <w:rFonts w:ascii="Hoefler Text" w:hAnsi="Hoefler Text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aptionA">
    <w:name w:val="Caption A"/>
    <w:pPr>
      <w:spacing w:before="80" w:after="180" w:line="288" w:lineRule="auto"/>
    </w:pPr>
    <w:rPr>
      <w:rFonts w:ascii="Avenir Next Demi Bold" w:hAnsi="Avenir Next Demi Bold" w:cs="Arial Unicode MS"/>
      <w:color w:val="929292"/>
      <w:sz w:val="18"/>
      <w:szCs w:val="18"/>
      <w:u w:color="929292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itle">
    <w:name w:val="Title"/>
    <w:next w:val="BodyA"/>
    <w:uiPriority w:val="10"/>
    <w:qFormat/>
    <w:pPr>
      <w:keepNext/>
      <w:spacing w:after="40"/>
      <w:outlineLvl w:val="0"/>
    </w:pPr>
    <w:rPr>
      <w:rFonts w:ascii="Hoefler Text" w:hAnsi="Hoefler Text" w:cs="Arial Unicode MS"/>
      <w:color w:val="00918B"/>
      <w:sz w:val="96"/>
      <w:szCs w:val="96"/>
      <w:u w:color="00918B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08_Journal_Newsletter">
  <a:themeElements>
    <a:clrScheme name="08_Journal_Newsletter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7C0E1"/>
      </a:accent1>
      <a:accent2>
        <a:srgbClr val="43C2C3"/>
      </a:accent2>
      <a:accent3>
        <a:srgbClr val="99B440"/>
      </a:accent3>
      <a:accent4>
        <a:srgbClr val="F9C400"/>
      </a:accent4>
      <a:accent5>
        <a:srgbClr val="FF7449"/>
      </a:accent5>
      <a:accent6>
        <a:srgbClr val="FC6861"/>
      </a:accent6>
      <a:hlink>
        <a:srgbClr val="0000FF"/>
      </a:hlink>
      <a:folHlink>
        <a:srgbClr val="FF00FF"/>
      </a:folHlink>
    </a:clrScheme>
    <a:fontScheme name="08_Journal_Newsletter">
      <a:majorFont>
        <a:latin typeface="Hoefler Text"/>
        <a:ea typeface="Hoefler Text"/>
        <a:cs typeface="Hoefler Text"/>
      </a:majorFont>
      <a:minorFont>
        <a:latin typeface="Helvetica Neue"/>
        <a:ea typeface="Helvetica Neue"/>
        <a:cs typeface="Helvetica Neue"/>
      </a:minorFont>
    </a:fontScheme>
    <a:fmtScheme name="08_Journal_News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127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127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127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127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 Ultra Light"/>
            <a:ea typeface="Avenir Next Ultra Light"/>
            <a:cs typeface="Avenir Next Ultra Light"/>
            <a:sym typeface="Avenir Next Ultra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127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 Ultra Light"/>
            <a:ea typeface="Avenir Next Ultra Light"/>
            <a:cs typeface="Avenir Next Ultra Light"/>
            <a:sym typeface="Avenir Next Ultra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1305</Words>
  <Characters>1372</Characters>
  <Application>Microsoft Office Word</Application>
  <DocSecurity>0</DocSecurity>
  <Lines>40</Lines>
  <Paragraphs>13</Paragraphs>
  <ScaleCrop>false</ScaleCrop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Baotong Gu</cp:lastModifiedBy>
  <cp:revision>2</cp:revision>
  <dcterms:created xsi:type="dcterms:W3CDTF">2021-10-12T04:04:00Z</dcterms:created>
  <dcterms:modified xsi:type="dcterms:W3CDTF">2021-10-12T04:04:00Z</dcterms:modified>
</cp:coreProperties>
</file>